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35896">
      <w:pPr>
        <w:widowControl/>
        <w:adjustRightInd w:val="0"/>
        <w:snapToGrid w:val="0"/>
        <w:spacing w:after="200"/>
        <w:rPr>
          <w:rFonts w:hint="eastAsia" w:ascii="楷体" w:hAnsi="楷体" w:eastAsia="楷体" w:cs="楷体"/>
          <w:b/>
          <w:bCs/>
          <w:sz w:val="44"/>
          <w:szCs w:val="44"/>
        </w:rPr>
      </w:pPr>
      <w:r>
        <w:rPr>
          <w:rFonts w:hint="eastAsia"/>
        </w:rPr>
        <w:drawing>
          <wp:inline distT="0" distB="0" distL="114300" distR="114300">
            <wp:extent cx="3307715" cy="993775"/>
            <wp:effectExtent l="0" t="0" r="6985" b="9525"/>
            <wp:docPr id="3" name="图片 1" descr="策划书图标"/>
            <wp:cNvGraphicFramePr/>
            <a:graphic xmlns:a="http://schemas.openxmlformats.org/drawingml/2006/main">
              <a:graphicData uri="http://schemas.openxmlformats.org/drawingml/2006/picture">
                <pic:pic xmlns:pic="http://schemas.openxmlformats.org/drawingml/2006/picture">
                  <pic:nvPicPr>
                    <pic:cNvPr id="3" name="图片 1" descr="策划书图标"/>
                    <pic:cNvPicPr/>
                  </pic:nvPicPr>
                  <pic:blipFill>
                    <a:blip r:embed="rId7"/>
                    <a:stretch>
                      <a:fillRect/>
                    </a:stretch>
                  </pic:blipFill>
                  <pic:spPr>
                    <a:xfrm>
                      <a:off x="0" y="0"/>
                      <a:ext cx="3307715" cy="993775"/>
                    </a:xfrm>
                    <a:prstGeom prst="rect">
                      <a:avLst/>
                    </a:prstGeom>
                    <a:noFill/>
                    <a:ln>
                      <a:noFill/>
                    </a:ln>
                  </pic:spPr>
                </pic:pic>
              </a:graphicData>
            </a:graphic>
          </wp:inline>
        </w:drawing>
      </w:r>
    </w:p>
    <w:p w14:paraId="698A71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bCs/>
          <w:sz w:val="44"/>
          <w:szCs w:val="44"/>
          <w:lang w:val="en-US" w:eastAsia="zh-CN"/>
        </w:rPr>
      </w:pPr>
      <w:bookmarkStart w:id="0" w:name="_Toc3549"/>
      <w:r>
        <w:rPr>
          <w:rFonts w:hint="eastAsia" w:ascii="方正小标宋简体" w:hAnsi="方正小标宋简体" w:eastAsia="方正小标宋简体" w:cs="方正小标宋简体"/>
          <w:bCs/>
          <w:sz w:val="44"/>
          <w:szCs w:val="44"/>
          <w:lang w:val="en-US" w:eastAsia="zh-CN"/>
        </w:rPr>
        <w:t>郑州工商学院信息工程学院</w:t>
      </w:r>
      <w:bookmarkEnd w:id="0"/>
    </w:p>
    <w:p w14:paraId="7F3C69E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bCs/>
          <w:sz w:val="44"/>
          <w:szCs w:val="44"/>
          <w:lang w:val="en-US" w:eastAsia="zh-CN"/>
        </w:rPr>
      </w:pPr>
      <w:bookmarkStart w:id="1" w:name="_Toc25853"/>
      <w:r>
        <w:rPr>
          <w:rFonts w:hint="eastAsia" w:ascii="方正小标宋简体" w:hAnsi="方正小标宋简体" w:eastAsia="方正小标宋简体" w:cs="方正小标宋简体"/>
          <w:bCs/>
          <w:sz w:val="44"/>
          <w:szCs w:val="44"/>
          <w:lang w:val="en-US" w:eastAsia="zh-CN"/>
        </w:rPr>
        <w:t>“心帆护航团，聚力新征程”活动</w:t>
      </w:r>
      <w:bookmarkEnd w:id="1"/>
    </w:p>
    <w:p w14:paraId="4BB70DF1">
      <w:pPr>
        <w:jc w:val="center"/>
        <w:rPr>
          <w:rFonts w:hint="eastAsia" w:ascii="黑体" w:hAnsi="黑体" w:eastAsia="黑体" w:cs="黑体"/>
          <w:b/>
          <w:color w:val="FF0000"/>
          <w:sz w:val="48"/>
          <w:szCs w:val="48"/>
        </w:rPr>
      </w:pPr>
    </w:p>
    <w:p w14:paraId="489EC6B8">
      <w:pPr>
        <w:spacing w:line="220" w:lineRule="atLeast"/>
        <w:ind w:firstLine="420" w:firstLineChars="200"/>
      </w:pPr>
    </w:p>
    <w:p w14:paraId="0E3A5777">
      <w:pPr>
        <w:pStyle w:val="12"/>
        <w:spacing w:line="220" w:lineRule="atLeast"/>
        <w:ind w:left="420" w:firstLine="0" w:firstLineChars="0"/>
        <w:jc w:val="center"/>
        <w:outlineLvl w:val="0"/>
        <w:rPr>
          <w:rFonts w:hint="eastAsia" w:ascii="楷体" w:hAnsi="楷体" w:eastAsia="楷体" w:cs="楷体"/>
          <w:b/>
          <w:sz w:val="96"/>
          <w:szCs w:val="96"/>
        </w:rPr>
      </w:pPr>
      <w:bookmarkStart w:id="2" w:name="_Toc2409"/>
      <w:r>
        <w:rPr>
          <w:rFonts w:hint="eastAsia" w:ascii="楷体" w:hAnsi="楷体" w:eastAsia="楷体" w:cs="楷体"/>
          <w:b/>
          <w:sz w:val="96"/>
          <w:szCs w:val="96"/>
        </w:rPr>
        <w:t>策</w:t>
      </w:r>
      <w:bookmarkEnd w:id="2"/>
    </w:p>
    <w:p w14:paraId="6F3A22CE">
      <w:pPr>
        <w:pStyle w:val="12"/>
        <w:spacing w:line="220" w:lineRule="atLeast"/>
        <w:ind w:left="420" w:firstLine="0" w:firstLineChars="0"/>
        <w:jc w:val="center"/>
        <w:rPr>
          <w:rFonts w:hint="eastAsia" w:ascii="楷体" w:hAnsi="楷体" w:eastAsia="楷体" w:cs="楷体"/>
          <w:b/>
          <w:sz w:val="96"/>
          <w:szCs w:val="96"/>
        </w:rPr>
      </w:pPr>
    </w:p>
    <w:p w14:paraId="245629FB">
      <w:pPr>
        <w:pStyle w:val="12"/>
        <w:spacing w:line="220" w:lineRule="atLeast"/>
        <w:ind w:left="420" w:firstLine="0" w:firstLineChars="0"/>
        <w:jc w:val="center"/>
        <w:outlineLvl w:val="0"/>
        <w:rPr>
          <w:rFonts w:hint="eastAsia" w:ascii="楷体" w:hAnsi="楷体" w:eastAsia="楷体" w:cs="楷体"/>
          <w:b/>
          <w:sz w:val="96"/>
          <w:szCs w:val="96"/>
        </w:rPr>
      </w:pPr>
      <w:bookmarkStart w:id="3" w:name="_Toc13486"/>
      <w:r>
        <w:rPr>
          <w:rFonts w:hint="eastAsia" w:ascii="楷体" w:hAnsi="楷体" w:eastAsia="楷体" w:cs="楷体"/>
          <w:b/>
          <w:sz w:val="96"/>
          <w:szCs w:val="96"/>
        </w:rPr>
        <w:t>划</w:t>
      </w:r>
      <w:bookmarkEnd w:id="3"/>
    </w:p>
    <w:p w14:paraId="18954074">
      <w:pPr>
        <w:pStyle w:val="12"/>
        <w:spacing w:line="220" w:lineRule="atLeast"/>
        <w:ind w:firstLine="0" w:firstLineChars="0"/>
        <w:rPr>
          <w:rFonts w:hint="eastAsia" w:ascii="楷体" w:hAnsi="楷体" w:eastAsia="楷体" w:cs="楷体"/>
          <w:b/>
          <w:sz w:val="96"/>
          <w:szCs w:val="96"/>
        </w:rPr>
      </w:pPr>
    </w:p>
    <w:p w14:paraId="30D65372">
      <w:pPr>
        <w:pStyle w:val="12"/>
        <w:spacing w:line="220" w:lineRule="atLeast"/>
        <w:ind w:left="420" w:firstLine="0" w:firstLineChars="0"/>
        <w:jc w:val="center"/>
        <w:outlineLvl w:val="0"/>
        <w:rPr>
          <w:rFonts w:hint="eastAsia" w:ascii="楷体" w:hAnsi="楷体" w:eastAsia="楷体" w:cs="楷体"/>
          <w:b/>
          <w:sz w:val="96"/>
          <w:szCs w:val="96"/>
        </w:rPr>
      </w:pPr>
      <w:bookmarkStart w:id="4" w:name="_Toc26481"/>
      <w:r>
        <w:rPr>
          <w:rFonts w:hint="eastAsia" w:ascii="楷体" w:hAnsi="楷体" w:eastAsia="楷体" w:cs="楷体"/>
          <w:b/>
          <w:sz w:val="96"/>
          <w:szCs w:val="96"/>
        </w:rPr>
        <w:t>书</w:t>
      </w:r>
      <w:bookmarkEnd w:id="4"/>
    </w:p>
    <w:p w14:paraId="294C03D3">
      <w:pPr>
        <w:pStyle w:val="12"/>
        <w:spacing w:line="220" w:lineRule="atLeast"/>
        <w:ind w:firstLine="0" w:firstLineChars="0"/>
        <w:rPr>
          <w:rFonts w:hint="eastAsia" w:ascii="楷体" w:hAnsi="楷体" w:eastAsia="楷体" w:cs="楷体"/>
          <w:b/>
          <w:sz w:val="96"/>
          <w:szCs w:val="96"/>
        </w:rPr>
      </w:pPr>
    </w:p>
    <w:p w14:paraId="643B6D19">
      <w:pPr>
        <w:pStyle w:val="12"/>
        <w:spacing w:line="220" w:lineRule="atLeast"/>
        <w:ind w:firstLine="0" w:firstLineChars="0"/>
        <w:jc w:val="left"/>
        <w:rPr>
          <w:rFonts w:hint="eastAsia" w:ascii="黑体" w:hAnsi="黑体" w:eastAsia="黑体"/>
          <w:b/>
          <w:sz w:val="32"/>
          <w:szCs w:val="32"/>
        </w:rPr>
      </w:pPr>
    </w:p>
    <w:p w14:paraId="56D541CE">
      <w:pPr>
        <w:pStyle w:val="12"/>
        <w:spacing w:line="220" w:lineRule="atLeast"/>
        <w:ind w:firstLine="0" w:firstLineChars="0"/>
        <w:jc w:val="right"/>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b/>
          <w:sz w:val="32"/>
          <w:szCs w:val="32"/>
        </w:rPr>
        <w:t xml:space="preserve"> </w:t>
      </w:r>
      <w:r>
        <w:rPr>
          <w:rFonts w:hint="eastAsia" w:ascii="宋体" w:hAnsi="宋体"/>
          <w:b/>
          <w:sz w:val="32"/>
          <w:szCs w:val="32"/>
        </w:rPr>
        <w:t xml:space="preserve"> </w:t>
      </w:r>
      <w:bookmarkStart w:id="5" w:name="_Toc30434"/>
      <w:r>
        <w:rPr>
          <w:rFonts w:hint="eastAsia" w:ascii="仿宋_GB2312" w:hAnsi="仿宋_GB2312" w:eastAsia="仿宋_GB2312" w:cs="仿宋_GB2312"/>
          <w:color w:val="000000" w:themeColor="text1"/>
          <w:sz w:val="28"/>
          <w:szCs w:val="28"/>
          <w14:textFill>
            <w14:solidFill>
              <w14:schemeClr w14:val="tx1"/>
            </w14:solidFill>
          </w14:textFill>
        </w:rPr>
        <w:t>郑州工商学院信息工程学院</w:t>
      </w:r>
      <w:bookmarkEnd w:id="5"/>
    </w:p>
    <w:p w14:paraId="22FD988E">
      <w:pPr>
        <w:pStyle w:val="12"/>
        <w:spacing w:line="220" w:lineRule="atLeast"/>
        <w:ind w:firstLine="0" w:firstLineChars="0"/>
        <w:jc w:val="right"/>
        <w:rPr>
          <w:rFonts w:hint="eastAsia" w:ascii="仿宋_GB2312" w:hAnsi="仿宋_GB2312" w:eastAsia="仿宋_GB2312" w:cs="仿宋_GB2312"/>
          <w:color w:val="000000" w:themeColor="text1"/>
          <w:sz w:val="28"/>
          <w:szCs w:val="28"/>
          <w14:textFill>
            <w14:solidFill>
              <w14:schemeClr w14:val="tx1"/>
            </w14:solidFill>
          </w14:textFill>
        </w:rPr>
        <w:sectPr>
          <w:headerReference r:id="rId3" w:type="default"/>
          <w:footerReference r:id="rId4" w:type="default"/>
          <w:pgSz w:w="11906" w:h="16838"/>
          <w:pgMar w:top="1440" w:right="1800" w:bottom="1440" w:left="1800" w:header="708" w:footer="708" w:gutter="0"/>
          <w:pgNumType w:start="1"/>
          <w:cols w:space="708" w:num="1"/>
          <w:docGrid w:linePitch="360" w:charSpace="0"/>
        </w:sectPr>
      </w:pPr>
      <w:r>
        <w:rPr>
          <w:rFonts w:hint="eastAsia" w:ascii="仿宋_GB2312" w:hAnsi="仿宋_GB2312" w:eastAsia="仿宋_GB2312" w:cs="仿宋_GB2312"/>
          <w:color w:val="000000" w:themeColor="text1"/>
          <w:sz w:val="28"/>
          <w:szCs w:val="28"/>
          <w14:textFill>
            <w14:solidFill>
              <w14:schemeClr w14:val="tx1"/>
            </w14:solidFill>
          </w14:textFill>
        </w:rPr>
        <w:t>二〇二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十八</w:t>
      </w:r>
      <w:r>
        <w:rPr>
          <w:rFonts w:hint="eastAsia" w:ascii="仿宋_GB2312" w:hAnsi="仿宋_GB2312" w:eastAsia="仿宋_GB2312" w:cs="仿宋_GB2312"/>
          <w:color w:val="000000" w:themeColor="text1"/>
          <w:sz w:val="28"/>
          <w:szCs w:val="28"/>
          <w14:textFill>
            <w14:solidFill>
              <w14:schemeClr w14:val="tx1"/>
            </w14:solidFill>
          </w14:textFill>
        </w:rPr>
        <w:t>日</w:t>
      </w:r>
    </w:p>
    <w:p w14:paraId="7A243C68">
      <w:pPr>
        <w:rPr>
          <w:rFonts w:hint="eastAsia" w:ascii="仿宋_GB2312" w:hAnsi="等线 Light" w:eastAsia="仿宋_GB2312"/>
          <w:kern w:val="0"/>
          <w:sz w:val="28"/>
          <w:szCs w:val="28"/>
        </w:rPr>
      </w:pPr>
      <w:r>
        <w:rPr>
          <w:rFonts w:hint="eastAsia" w:ascii="仿宋_GB2312" w:hAnsi="等线 Light" w:eastAsia="仿宋_GB2312"/>
          <w:kern w:val="0"/>
          <w:sz w:val="28"/>
          <w:szCs w:val="28"/>
        </w:rPr>
        <w:t xml:space="preserve"> </w:t>
      </w:r>
    </w:p>
    <w:sdt>
      <w:sdtPr>
        <w:rPr>
          <w:rFonts w:hint="eastAsia" w:ascii="楷体" w:hAnsi="楷体" w:eastAsia="楷体" w:cs="楷体"/>
          <w:b/>
          <w:bCs/>
          <w:color w:val="000000" w:themeColor="text1"/>
          <w:sz w:val="56"/>
          <w:szCs w:val="56"/>
          <w:lang w:val="en-US" w:eastAsia="zh-CN"/>
          <w14:textFill>
            <w14:solidFill>
              <w14:schemeClr w14:val="tx1"/>
            </w14:solidFill>
          </w14:textFill>
        </w:rPr>
        <w:id w:val="147483488"/>
        <w15:color w:val="DBDBDB"/>
        <w:docPartObj>
          <w:docPartGallery w:val="Table of Contents"/>
          <w:docPartUnique/>
        </w:docPartObj>
      </w:sdtPr>
      <w:sdtEndPr>
        <w:rPr>
          <w:rFonts w:hint="eastAsia" w:ascii="仿宋_GB2312" w:hAnsi="等线 Light" w:eastAsia="仿宋_GB2312" w:cs="宋体"/>
          <w:b/>
          <w:bCs/>
          <w:color w:val="000000" w:themeColor="text1"/>
          <w:kern w:val="0"/>
          <w:sz w:val="21"/>
          <w:szCs w:val="28"/>
          <w:lang w:val="en-US" w:eastAsia="zh-CN" w:bidi="ar-SA"/>
          <w14:textFill>
            <w14:solidFill>
              <w14:schemeClr w14:val="tx1"/>
            </w14:solidFill>
          </w14:textFill>
        </w:rPr>
      </w:sdtEndPr>
      <w:sdtContent>
        <w:p w14:paraId="1C2924E0">
          <w:pPr>
            <w:spacing w:line="600" w:lineRule="auto"/>
            <w:jc w:val="center"/>
            <w:rPr>
              <w:rFonts w:hint="eastAsia" w:ascii="楷体" w:hAnsi="楷体" w:eastAsia="楷体" w:cs="楷体"/>
              <w:b/>
              <w:bCs/>
              <w:color w:val="000000" w:themeColor="text1"/>
              <w:sz w:val="56"/>
              <w:szCs w:val="56"/>
              <w14:textFill>
                <w14:solidFill>
                  <w14:schemeClr w14:val="tx1"/>
                </w14:solidFill>
              </w14:textFill>
            </w:rPr>
          </w:pPr>
          <w:r>
            <w:rPr>
              <w:rFonts w:hint="eastAsia" w:ascii="楷体" w:hAnsi="楷体" w:eastAsia="楷体" w:cs="楷体"/>
              <w:b/>
              <w:bCs/>
              <w:color w:val="000000" w:themeColor="text1"/>
              <w:sz w:val="56"/>
              <w:szCs w:val="56"/>
              <w14:textFill>
                <w14:solidFill>
                  <w14:schemeClr w14:val="tx1"/>
                </w14:solidFill>
              </w14:textFill>
            </w:rPr>
            <w:t>目录</w:t>
          </w:r>
        </w:p>
        <w:p w14:paraId="03AC0027">
          <w:pPr>
            <w:pStyle w:val="17"/>
            <w:tabs>
              <w:tab w:val="right" w:leader="dot" w:pos="8306"/>
            </w:tabs>
          </w:pPr>
          <w:r>
            <w:rPr>
              <w:rFonts w:hint="eastAsia" w:ascii="仿宋_GB2312" w:hAnsi="等线 Light" w:eastAsia="仿宋_GB2312"/>
              <w:kern w:val="0"/>
              <w:sz w:val="28"/>
              <w:szCs w:val="28"/>
            </w:rPr>
            <w:fldChar w:fldCharType="begin"/>
          </w:r>
          <w:r>
            <w:rPr>
              <w:rFonts w:hint="eastAsia" w:ascii="仿宋_GB2312" w:hAnsi="等线 Light" w:eastAsia="仿宋_GB2312"/>
              <w:kern w:val="0"/>
              <w:sz w:val="28"/>
              <w:szCs w:val="28"/>
            </w:rPr>
            <w:instrText xml:space="preserve">TOC \o "1-1" \h \u </w:instrText>
          </w:r>
          <w:r>
            <w:rPr>
              <w:rFonts w:hint="eastAsia" w:ascii="仿宋_GB2312" w:hAnsi="等线 Light" w:eastAsia="仿宋_GB2312"/>
              <w:kern w:val="0"/>
              <w:sz w:val="28"/>
              <w:szCs w:val="28"/>
            </w:rPr>
            <w:fldChar w:fldCharType="separate"/>
          </w:r>
        </w:p>
        <w:p w14:paraId="1D2E8785">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_Toc16662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一、活动背景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0CAC204D">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_Toc27091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二、活动目的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531050F9">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_Toc18111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三、活动信息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575D170C">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_Toc8963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四、活动对象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78F38A0A">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_Toc3029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五、活动流程</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0B10FC89">
          <w:pPr>
            <w:pStyle w:val="17"/>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_Toc5235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六、注意事项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57278327">
          <w:pPr>
            <w:rPr>
              <w:rFonts w:hint="eastAsia" w:ascii="仿宋_GB2312" w:hAnsi="等线 Light" w:eastAsia="仿宋_GB2312" w:cs="宋体"/>
              <w:kern w:val="0"/>
              <w:sz w:val="21"/>
              <w:szCs w:val="28"/>
              <w:lang w:val="en-US" w:eastAsia="zh-CN" w:bidi="ar-SA"/>
            </w:rPr>
          </w:pPr>
          <w:r>
            <w:rPr>
              <w:rFonts w:hint="eastAsia" w:ascii="仿宋_GB2312" w:hAnsi="等线 Light" w:eastAsia="仿宋_GB2312"/>
              <w:kern w:val="0"/>
              <w:szCs w:val="28"/>
            </w:rPr>
            <w:fldChar w:fldCharType="end"/>
          </w:r>
        </w:p>
      </w:sdtContent>
    </w:sdt>
    <w:p w14:paraId="5D867211">
      <w:pPr>
        <w:rPr>
          <w:rFonts w:hint="eastAsia" w:ascii="仿宋_GB2312" w:hAnsi="等线 Light" w:eastAsia="仿宋_GB2312" w:cs="宋体"/>
          <w:kern w:val="0"/>
          <w:sz w:val="21"/>
          <w:szCs w:val="28"/>
          <w:lang w:val="en-US" w:eastAsia="zh-CN" w:bidi="ar-SA"/>
        </w:rPr>
      </w:pPr>
    </w:p>
    <w:p w14:paraId="5616D8B0">
      <w:pPr>
        <w:rPr>
          <w:rFonts w:hint="eastAsia" w:ascii="仿宋_GB2312" w:hAnsi="等线 Light" w:eastAsia="仿宋_GB2312" w:cs="宋体"/>
          <w:kern w:val="0"/>
          <w:sz w:val="21"/>
          <w:szCs w:val="28"/>
          <w:lang w:val="en-US" w:eastAsia="zh-CN" w:bidi="ar-SA"/>
        </w:rPr>
      </w:pPr>
    </w:p>
    <w:p w14:paraId="4D696AB3">
      <w:pPr>
        <w:rPr>
          <w:rFonts w:hint="eastAsia" w:ascii="仿宋_GB2312" w:hAnsi="等线 Light" w:eastAsia="仿宋_GB2312" w:cs="宋体"/>
          <w:kern w:val="0"/>
          <w:sz w:val="21"/>
          <w:szCs w:val="28"/>
          <w:lang w:val="en-US" w:eastAsia="zh-CN" w:bidi="ar-SA"/>
        </w:rPr>
      </w:pPr>
    </w:p>
    <w:p w14:paraId="310AD230">
      <w:pPr>
        <w:rPr>
          <w:rFonts w:hint="eastAsia" w:ascii="仿宋_GB2312" w:hAnsi="等线 Light" w:eastAsia="仿宋_GB2312" w:cs="宋体"/>
          <w:kern w:val="0"/>
          <w:sz w:val="21"/>
          <w:szCs w:val="28"/>
          <w:lang w:val="en-US" w:eastAsia="zh-CN" w:bidi="ar-SA"/>
        </w:rPr>
      </w:pPr>
    </w:p>
    <w:p w14:paraId="3083D690">
      <w:pPr>
        <w:rPr>
          <w:rFonts w:hint="eastAsia" w:ascii="仿宋_GB2312" w:hAnsi="等线 Light" w:eastAsia="仿宋_GB2312" w:cs="宋体"/>
          <w:kern w:val="0"/>
          <w:sz w:val="21"/>
          <w:szCs w:val="28"/>
          <w:lang w:val="en-US" w:eastAsia="zh-CN" w:bidi="ar-SA"/>
        </w:rPr>
      </w:pPr>
    </w:p>
    <w:p w14:paraId="0484FF41">
      <w:pPr>
        <w:rPr>
          <w:rFonts w:hint="eastAsia" w:ascii="仿宋_GB2312" w:hAnsi="等线 Light" w:eastAsia="仿宋_GB2312" w:cs="宋体"/>
          <w:kern w:val="0"/>
          <w:sz w:val="21"/>
          <w:szCs w:val="28"/>
          <w:lang w:val="en-US" w:eastAsia="zh-CN" w:bidi="ar-SA"/>
        </w:rPr>
      </w:pPr>
    </w:p>
    <w:p w14:paraId="11ECD041">
      <w:pPr>
        <w:rPr>
          <w:rFonts w:hint="eastAsia" w:ascii="仿宋_GB2312" w:hAnsi="等线 Light" w:eastAsia="仿宋_GB2312" w:cs="宋体"/>
          <w:kern w:val="0"/>
          <w:sz w:val="21"/>
          <w:szCs w:val="28"/>
          <w:lang w:val="en-US" w:eastAsia="zh-CN" w:bidi="ar-SA"/>
        </w:rPr>
      </w:pPr>
    </w:p>
    <w:p w14:paraId="2D003035">
      <w:pPr>
        <w:rPr>
          <w:rFonts w:hint="eastAsia" w:ascii="仿宋_GB2312" w:hAnsi="等线 Light" w:eastAsia="仿宋_GB2312" w:cs="宋体"/>
          <w:kern w:val="0"/>
          <w:sz w:val="21"/>
          <w:szCs w:val="28"/>
          <w:lang w:val="en-US" w:eastAsia="zh-CN" w:bidi="ar-SA"/>
        </w:rPr>
      </w:pPr>
    </w:p>
    <w:p w14:paraId="3AC9A6C8">
      <w:pPr>
        <w:rPr>
          <w:rFonts w:hint="eastAsia" w:ascii="仿宋_GB2312" w:hAnsi="等线 Light" w:eastAsia="仿宋_GB2312" w:cs="宋体"/>
          <w:kern w:val="0"/>
          <w:sz w:val="21"/>
          <w:szCs w:val="28"/>
          <w:lang w:val="en-US" w:eastAsia="zh-CN" w:bidi="ar-SA"/>
        </w:rPr>
      </w:pPr>
    </w:p>
    <w:p w14:paraId="37512EB5">
      <w:pPr>
        <w:rPr>
          <w:rFonts w:hint="eastAsia" w:ascii="仿宋_GB2312" w:hAnsi="等线 Light" w:eastAsia="仿宋_GB2312" w:cs="宋体"/>
          <w:kern w:val="0"/>
          <w:sz w:val="21"/>
          <w:szCs w:val="28"/>
          <w:lang w:val="en-US" w:eastAsia="zh-CN" w:bidi="ar-SA"/>
        </w:rPr>
      </w:pPr>
    </w:p>
    <w:p w14:paraId="34268FDF">
      <w:pPr>
        <w:rPr>
          <w:rFonts w:hint="eastAsia" w:ascii="仿宋_GB2312" w:hAnsi="等线 Light" w:eastAsia="仿宋_GB2312" w:cs="宋体"/>
          <w:kern w:val="0"/>
          <w:sz w:val="21"/>
          <w:szCs w:val="28"/>
          <w:lang w:val="en-US" w:eastAsia="zh-CN" w:bidi="ar-SA"/>
        </w:rPr>
      </w:pPr>
    </w:p>
    <w:p w14:paraId="62B951DE">
      <w:pPr>
        <w:rPr>
          <w:rFonts w:hint="eastAsia" w:ascii="仿宋_GB2312" w:hAnsi="等线 Light" w:eastAsia="仿宋_GB2312" w:cs="宋体"/>
          <w:kern w:val="0"/>
          <w:sz w:val="21"/>
          <w:szCs w:val="28"/>
          <w:lang w:val="en-US" w:eastAsia="zh-CN" w:bidi="ar-SA"/>
        </w:rPr>
      </w:pPr>
    </w:p>
    <w:p w14:paraId="250141D5">
      <w:pPr>
        <w:rPr>
          <w:rFonts w:hint="eastAsia" w:ascii="仿宋_GB2312" w:hAnsi="等线 Light" w:eastAsia="仿宋_GB2312" w:cs="宋体"/>
          <w:kern w:val="0"/>
          <w:sz w:val="21"/>
          <w:szCs w:val="28"/>
          <w:lang w:val="en-US" w:eastAsia="zh-CN" w:bidi="ar-SA"/>
        </w:rPr>
      </w:pPr>
    </w:p>
    <w:p w14:paraId="00C8B1EE">
      <w:pPr>
        <w:rPr>
          <w:rFonts w:hint="eastAsia" w:ascii="仿宋_GB2312" w:hAnsi="等线 Light" w:eastAsia="仿宋_GB2312" w:cs="宋体"/>
          <w:kern w:val="0"/>
          <w:sz w:val="21"/>
          <w:szCs w:val="28"/>
          <w:lang w:val="en-US" w:eastAsia="zh-CN" w:bidi="ar-SA"/>
        </w:rPr>
      </w:pPr>
    </w:p>
    <w:p w14:paraId="6A9DCEDD">
      <w:pPr>
        <w:rPr>
          <w:rFonts w:hint="eastAsia" w:ascii="仿宋_GB2312" w:hAnsi="等线 Light" w:eastAsia="仿宋_GB2312" w:cs="宋体"/>
          <w:kern w:val="0"/>
          <w:sz w:val="21"/>
          <w:szCs w:val="28"/>
          <w:lang w:val="en-US" w:eastAsia="zh-CN" w:bidi="ar-SA"/>
        </w:rPr>
      </w:pPr>
    </w:p>
    <w:p w14:paraId="3700EC3E">
      <w:pPr>
        <w:rPr>
          <w:rFonts w:hint="eastAsia" w:ascii="仿宋_GB2312" w:hAnsi="等线 Light" w:eastAsia="仿宋_GB2312" w:cs="宋体"/>
          <w:kern w:val="0"/>
          <w:sz w:val="21"/>
          <w:szCs w:val="28"/>
          <w:lang w:val="en-US" w:eastAsia="zh-CN" w:bidi="ar-SA"/>
        </w:rPr>
      </w:pPr>
    </w:p>
    <w:p w14:paraId="48DD5C6F">
      <w:pPr>
        <w:rPr>
          <w:rFonts w:hint="eastAsia" w:ascii="仿宋_GB2312" w:hAnsi="等线 Light" w:eastAsia="仿宋_GB2312" w:cs="宋体"/>
          <w:kern w:val="0"/>
          <w:sz w:val="21"/>
          <w:szCs w:val="28"/>
          <w:lang w:val="en-US" w:eastAsia="zh-CN" w:bidi="ar-SA"/>
        </w:rPr>
      </w:pPr>
    </w:p>
    <w:p w14:paraId="5C046705">
      <w:pPr>
        <w:rPr>
          <w:rFonts w:hint="eastAsia" w:ascii="仿宋_GB2312" w:hAnsi="等线 Light" w:eastAsia="仿宋_GB2312" w:cs="宋体"/>
          <w:kern w:val="0"/>
          <w:sz w:val="21"/>
          <w:szCs w:val="28"/>
          <w:lang w:val="en-US" w:eastAsia="zh-CN" w:bidi="ar-SA"/>
        </w:rPr>
      </w:pPr>
    </w:p>
    <w:p w14:paraId="2CABC344">
      <w:pPr>
        <w:rPr>
          <w:rFonts w:hint="eastAsia" w:ascii="仿宋_GB2312" w:hAnsi="等线 Light" w:eastAsia="仿宋_GB2312" w:cs="宋体"/>
          <w:kern w:val="0"/>
          <w:sz w:val="21"/>
          <w:szCs w:val="28"/>
          <w:lang w:val="en-US" w:eastAsia="zh-CN" w:bidi="ar-SA"/>
        </w:rPr>
      </w:pPr>
      <w:r>
        <w:rPr>
          <w:rFonts w:hint="eastAsia" w:ascii="仿宋_GB2312" w:hAnsi="等线 Light" w:eastAsia="仿宋_GB2312" w:cs="宋体"/>
          <w:kern w:val="0"/>
          <w:sz w:val="21"/>
          <w:szCs w:val="28"/>
          <w:lang w:val="en-US" w:eastAsia="zh-CN" w:bidi="ar-SA"/>
        </w:rPr>
        <w:br w:type="page"/>
      </w:r>
    </w:p>
    <w:p w14:paraId="4FF0E5DD">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仿宋_GB2312" w:eastAsia="仿宋_GB2312" w:cs="仿宋_GB2312"/>
          <w:sz w:val="32"/>
          <w:szCs w:val="32"/>
          <w:lang w:val="en-US" w:eastAsia="zh-CN"/>
        </w:rPr>
      </w:pPr>
      <w:bookmarkStart w:id="6" w:name="_Toc16662"/>
      <w:r>
        <w:rPr>
          <w:rFonts w:hint="eastAsia" w:ascii="黑体" w:hAnsi="黑体" w:eastAsia="黑体" w:cs="黑体"/>
          <w:b w:val="0"/>
          <w:bCs w:val="0"/>
          <w:sz w:val="32"/>
          <w:szCs w:val="32"/>
          <w:lang w:val="en-US" w:eastAsia="zh-CN"/>
        </w:rPr>
        <w:t>一、活动背景</w:t>
      </w:r>
      <w:bookmarkEnd w:id="6"/>
    </w:p>
    <w:p w14:paraId="4CDDC347">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大学生活中，心理健康至关重要。心理委员作为班级心理健康的守护者，在及时发现同学们心理问题、提供支持与帮助方面发挥着关键作用。然而，心理委员们往往来自不同班级，彼此之间缺乏深入了解，且对自身工作内容和职责的认知有待加强。为了提升心理委员的专业素养，增进彼此间的交流与合作，特举办本次室内团建活动。</w:t>
      </w:r>
    </w:p>
    <w:p w14:paraId="6D64439B">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仿宋_GB2312" w:eastAsia="仿宋_GB2312" w:cs="仿宋_GB2312"/>
          <w:sz w:val="32"/>
          <w:szCs w:val="32"/>
          <w:lang w:val="en-US" w:eastAsia="zh-CN"/>
        </w:rPr>
      </w:pPr>
      <w:bookmarkStart w:id="7" w:name="_Toc27091"/>
      <w:r>
        <w:rPr>
          <w:rFonts w:hint="eastAsia" w:ascii="黑体" w:hAnsi="黑体" w:eastAsia="黑体" w:cs="黑体"/>
          <w:b w:val="0"/>
          <w:bCs w:val="0"/>
          <w:sz w:val="32"/>
          <w:szCs w:val="32"/>
          <w:lang w:val="en-US" w:eastAsia="zh-CN"/>
        </w:rPr>
        <w:t>二、活动目的</w:t>
      </w:r>
      <w:bookmarkEnd w:id="7"/>
    </w:p>
    <w:p w14:paraId="5C4657FA">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邀请信息工程学院心里专员老师讲解心理普查知识以及心理委员的主要责任和工作任务，提升心理委员的专业知识和业务能力，使其能够更好地履行职责。</w:t>
      </w:r>
    </w:p>
    <w:p w14:paraId="338D6EC9">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通过自我介绍、分组互动等环节，促进心理委员之间的相互认识与了解，增强团队凝聚力，为今后在心理健康工作中的协作奠定基础。</w:t>
      </w:r>
    </w:p>
    <w:p w14:paraId="3E053AD6">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借助数字炸弹等游戏，营造轻松愉快的氛围，缓解心理委员的工作压力，同时培养大家的应变能力和表达能力。</w:t>
      </w:r>
    </w:p>
    <w:p w14:paraId="66B910FA">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仿宋_GB2312" w:eastAsia="仿宋_GB2312" w:cs="仿宋_GB2312"/>
          <w:sz w:val="32"/>
          <w:szCs w:val="32"/>
          <w:lang w:val="en-US" w:eastAsia="zh-CN"/>
        </w:rPr>
      </w:pPr>
      <w:bookmarkStart w:id="8" w:name="_Toc18111"/>
      <w:r>
        <w:rPr>
          <w:rFonts w:hint="eastAsia" w:ascii="黑体" w:hAnsi="黑体" w:eastAsia="黑体" w:cs="黑体"/>
          <w:b w:val="0"/>
          <w:bCs w:val="0"/>
          <w:sz w:val="32"/>
          <w:szCs w:val="32"/>
          <w:lang w:val="en-US" w:eastAsia="zh-CN"/>
        </w:rPr>
        <w:t>三、活动信息</w:t>
      </w:r>
      <w:bookmarkEnd w:id="8"/>
    </w:p>
    <w:p w14:paraId="0B6A4965">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p>
    <w:p w14:paraId="539F6D03">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w:t>
      </w:r>
    </w:p>
    <w:p w14:paraId="7D65C706">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default" w:ascii="黑体" w:hAnsi="黑体" w:eastAsia="黑体" w:cs="黑体"/>
          <w:b w:val="0"/>
          <w:bCs w:val="0"/>
          <w:sz w:val="32"/>
          <w:szCs w:val="32"/>
          <w:lang w:val="en-US" w:eastAsia="zh-CN"/>
        </w:rPr>
      </w:pPr>
      <w:bookmarkStart w:id="9" w:name="_Toc8963"/>
      <w:r>
        <w:rPr>
          <w:rFonts w:hint="eastAsia" w:ascii="黑体" w:hAnsi="黑体" w:eastAsia="黑体" w:cs="黑体"/>
          <w:b w:val="0"/>
          <w:bCs w:val="0"/>
          <w:sz w:val="32"/>
          <w:szCs w:val="32"/>
          <w:lang w:val="en-US" w:eastAsia="zh-CN"/>
        </w:rPr>
        <w:t>四、活动对象</w:t>
      </w:r>
      <w:bookmarkEnd w:id="9"/>
    </w:p>
    <w:p w14:paraId="064213A5">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信息工程学院全体心理委员</w:t>
      </w:r>
    </w:p>
    <w:p w14:paraId="184E66C6">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仿宋_GB2312" w:eastAsia="仿宋_GB2312" w:cs="仿宋_GB2312"/>
          <w:sz w:val="32"/>
          <w:szCs w:val="32"/>
          <w:lang w:val="en-US" w:eastAsia="zh-CN"/>
        </w:rPr>
      </w:pPr>
      <w:bookmarkStart w:id="10" w:name="_Toc3029"/>
      <w:r>
        <w:rPr>
          <w:rFonts w:hint="eastAsia" w:ascii="黑体" w:hAnsi="黑体" w:eastAsia="黑体" w:cs="黑体"/>
          <w:b w:val="0"/>
          <w:bCs w:val="0"/>
          <w:sz w:val="32"/>
          <w:szCs w:val="32"/>
          <w:lang w:val="en-US" w:eastAsia="zh-CN"/>
        </w:rPr>
        <w:t>五、活动流程</w:t>
      </w:r>
      <w:bookmarkEnd w:id="10"/>
    </w:p>
    <w:p w14:paraId="021D99C1">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（一）老师进行责任讲解</w:t>
      </w:r>
    </w:p>
    <w:p w14:paraId="76BBFBE3">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活动开始，由负责人介绍本次活动的目的、流程以及到场的信息工程学院辅导专员老师，对老师的到来表示热烈欢迎。</w:t>
      </w:r>
    </w:p>
    <w:p w14:paraId="7F9C81B0">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辅导专员老师进行心理普查知识讲解，包括心理普查的重要性、常用的普查工具和方法、普查结果的分析与运用等，让心理委员们深入了解心理普查工作的流程和要点。</w:t>
      </w:r>
    </w:p>
    <w:p w14:paraId="340C6C2D">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师详细阐述心理委员的主要责任和工作任务，如关注班级同学的心理健康状况、及时发现心理问题的迹象、与同学进行有效的沟通、提供初步的心理支持、及时转介需要专业帮助的同学等，结合实际案例进行分析，让心理委员们对自己的工作有更清晰的认识。</w:t>
      </w:r>
    </w:p>
    <w:p w14:paraId="2239E8D2">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设置提问环节，心理委员们就自己在工作中遇到的疑问、困惑向老师提问，老师进行耐心解答和指导。</w:t>
      </w:r>
    </w:p>
    <w:p w14:paraId="5D0AC198">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（二）分组互动与名字记忆挑战</w:t>
      </w:r>
    </w:p>
    <w:p w14:paraId="1B0F6A5C">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知识讲解结束后，进入自我介绍和分组环节。每位心理委员依次进行简单的自我介绍，包括姓名、班级、个人兴趣爱好等，让大家对彼此有初步的认识。</w:t>
      </w:r>
    </w:p>
    <w:p w14:paraId="17DA0AE9">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自我介绍完毕后，通过随机抽签或报数的方式将所有心理委员分成两组。</w:t>
      </w:r>
    </w:p>
    <w:p w14:paraId="70CCF661">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分组完成后，两组分别在教室的不同区域活动，组内成员相互交流，加深对彼此名字的记忆。可以通过提问、互相介绍等方式，尽可能快速地记住组内成员的信息。</w:t>
      </w:r>
    </w:p>
    <w:p w14:paraId="08BD4738">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相提问考验环节：两组面对面站成两排，一组的成员向另一组的任意成员提问，问题围绕对方的名字、班级、爱好等自我介绍的内容，被提问者回答后，再向提问组的成员进行反问，如此交替进行。如果回答错误或回答不出来，所在组扣一分。在规定时间内，扣分少的一组获胜，赢得一方获得小礼品奖励。</w:t>
      </w:r>
    </w:p>
    <w:p w14:paraId="7CBBE1C9">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（三）数字炸弹游戏</w:t>
      </w:r>
    </w:p>
    <w:p w14:paraId="19543161">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组互动结束后，全体成员集合，开始数字炸弹游戏。主持人向大家详细介绍游戏规则：主持人在心里想一个1 - 100之间的整数作为“数字炸弹”，其他人轮流猜一个数字，每次猜完后，主持人缩小范围，告诉大家这个数字比“数字炸弹”大还是小，直到有人猜中“数字炸弹”。</w:t>
      </w:r>
    </w:p>
    <w:p w14:paraId="7E71DD71">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游戏开始，第一轮由主持人设定数字炸弹，心理委员们依次猜测数字，随着范围逐渐缩小，现场气氛会越来越紧张和有趣。当有成员猜中数字炸弹后，该成员接受惩罚，即表演节目或分享一件趣事。表演和分享结束后，进入下一轮游戏，由上一轮猜中数字的成员设定新的数字炸弹，继续游戏。如此循环进行多轮，让更多的心理委员有机会参与到游戏和互动中。</w:t>
      </w:r>
    </w:p>
    <w:p w14:paraId="6EE558FF">
      <w:pPr>
        <w:rPr>
          <w:rFonts w:hint="eastAsia" w:ascii="仿宋_GB2312" w:hAnsi="等线 Light" w:eastAsia="仿宋_GB2312"/>
          <w:kern w:val="0"/>
          <w:sz w:val="28"/>
          <w:szCs w:val="28"/>
        </w:rPr>
      </w:pPr>
      <w:r>
        <w:rPr>
          <w:rFonts w:hint="eastAsia" w:ascii="仿宋_GB2312" w:hAnsi="等线 Light" w:eastAsia="仿宋_GB2312"/>
          <w:kern w:val="0"/>
          <w:sz w:val="28"/>
          <w:szCs w:val="28"/>
        </w:rPr>
        <w:t xml:space="preserve">  </w:t>
      </w:r>
    </w:p>
    <w:p w14:paraId="03769A63">
      <w:pPr>
        <w:rPr>
          <w:rFonts w:hint="eastAsia" w:ascii="黑体" w:hAnsi="黑体" w:eastAsia="黑体" w:cs="黑体"/>
          <w:b w:val="0"/>
          <w:bCs w:val="0"/>
          <w:sz w:val="32"/>
          <w:szCs w:val="32"/>
          <w:lang w:val="en-US" w:eastAsia="zh-CN"/>
        </w:rPr>
      </w:pPr>
      <w:bookmarkStart w:id="11" w:name="_Toc5235"/>
      <w:r>
        <w:rPr>
          <w:rFonts w:hint="eastAsia" w:ascii="黑体" w:hAnsi="黑体" w:eastAsia="黑体" w:cs="黑体"/>
          <w:b w:val="0"/>
          <w:bCs w:val="0"/>
          <w:sz w:val="32"/>
          <w:szCs w:val="32"/>
          <w:lang w:val="en-US" w:eastAsia="zh-CN"/>
        </w:rPr>
        <w:br w:type="page"/>
      </w:r>
    </w:p>
    <w:p w14:paraId="720829E5">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六、注意事项</w:t>
      </w:r>
      <w:bookmarkEnd w:id="11"/>
    </w:p>
    <w:p w14:paraId="338C04C0">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活动开始前，确保活动场地的设备设施正常运行，如音响、投影仪等，以保证专业知识讲解环节的顺利进行。</w:t>
      </w:r>
    </w:p>
    <w:p w14:paraId="3ED4C9CE">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在互动环节中，鼓励大家积极参与，但也要尊重每个人的意愿，避免强迫性的互动，确保活动氛围轻松愉快。</w:t>
      </w:r>
    </w:p>
    <w:p w14:paraId="361AA947">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游戏过程中，主持人要把控好节奏和时间，确保每个环节都能按计划完成，同时要注意安全，避免因过于激动而发生意外。</w:t>
      </w:r>
    </w:p>
    <w:p w14:paraId="6A2D4AA6">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p>
    <w:p w14:paraId="0D3F4DBB">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仿宋_GB2312" w:hAnsi="仿宋_GB2312" w:eastAsia="仿宋_GB2312" w:cs="仿宋_GB2312"/>
          <w:sz w:val="32"/>
          <w:szCs w:val="32"/>
          <w:lang w:val="en-US" w:eastAsia="zh-CN"/>
        </w:rPr>
      </w:pPr>
      <w:bookmarkStart w:id="12" w:name="_GoBack"/>
      <w:bookmarkEnd w:id="12"/>
    </w:p>
    <w:p w14:paraId="639A2565">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p>
    <w:p w14:paraId="7E18FDCF">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p>
    <w:p w14:paraId="20F643D5">
      <w:pPr>
        <w:pStyle w:val="12"/>
        <w:spacing w:line="220" w:lineRule="atLeast"/>
        <w:ind w:firstLine="0" w:firstLineChars="0"/>
        <w:jc w:val="right"/>
        <w:rPr>
          <w:rFonts w:hint="eastAsia" w:ascii="宋体" w:hAnsi="宋体"/>
          <w:b/>
          <w:sz w:val="32"/>
          <w:szCs w:val="32"/>
        </w:rPr>
      </w:pPr>
      <w:r>
        <w:rPr>
          <w:rFonts w:hint="eastAsia" w:ascii="仿宋_GB2312" w:eastAsia="仿宋_GB2312"/>
          <w:sz w:val="28"/>
          <w:szCs w:val="28"/>
        </w:rPr>
        <w:t>信息工程学院学生会</w:t>
      </w:r>
      <w:r>
        <w:rPr>
          <w:rFonts w:hint="eastAsia" w:ascii="仿宋_GB2312" w:eastAsia="仿宋_GB2312"/>
          <w:sz w:val="28"/>
          <w:szCs w:val="28"/>
          <w:lang w:val="en-US" w:eastAsia="zh-CN"/>
        </w:rPr>
        <w:t>身心健康</w:t>
      </w:r>
      <w:r>
        <w:rPr>
          <w:rFonts w:hint="eastAsia" w:ascii="仿宋_GB2312" w:eastAsia="仿宋_GB2312"/>
          <w:sz w:val="28"/>
          <w:szCs w:val="28"/>
        </w:rPr>
        <w:t>部</w:t>
      </w:r>
    </w:p>
    <w:p w14:paraId="2130434A">
      <w:pPr>
        <w:jc w:val="right"/>
        <w:rPr>
          <w:rFonts w:hint="eastAsia" w:ascii="仿宋_GB2312" w:eastAsia="仿宋_GB2312"/>
          <w:sz w:val="28"/>
          <w:szCs w:val="28"/>
        </w:rPr>
      </w:pPr>
      <w:r>
        <w:rPr>
          <w:rFonts w:hint="eastAsia" w:ascii="仿宋_GB2312" w:eastAsia="仿宋_GB2312"/>
          <w:sz w:val="28"/>
          <w:szCs w:val="28"/>
        </w:rPr>
        <w:t>二〇二</w:t>
      </w:r>
      <w:r>
        <w:rPr>
          <w:rFonts w:hint="eastAsia" w:ascii="仿宋_GB2312" w:eastAsia="仿宋_GB2312"/>
          <w:sz w:val="28"/>
          <w:szCs w:val="28"/>
          <w:lang w:val="en-US" w:eastAsia="zh-CN"/>
        </w:rPr>
        <w:t>五</w:t>
      </w:r>
      <w:r>
        <w:rPr>
          <w:rFonts w:hint="eastAsia" w:ascii="仿宋_GB2312" w:eastAsia="仿宋_GB2312"/>
          <w:sz w:val="28"/>
          <w:szCs w:val="28"/>
        </w:rPr>
        <w:t>年</w:t>
      </w:r>
      <w:r>
        <w:rPr>
          <w:rFonts w:hint="eastAsia" w:ascii="仿宋_GB2312" w:eastAsia="仿宋_GB2312"/>
          <w:sz w:val="28"/>
          <w:szCs w:val="28"/>
          <w:lang w:val="en-US" w:eastAsia="zh-CN"/>
        </w:rPr>
        <w:t>二</w:t>
      </w:r>
      <w:r>
        <w:rPr>
          <w:rFonts w:hint="eastAsia" w:ascii="仿宋_GB2312" w:eastAsia="仿宋_GB2312"/>
          <w:sz w:val="28"/>
          <w:szCs w:val="28"/>
        </w:rPr>
        <w:t>月</w:t>
      </w:r>
    </w:p>
    <w:p w14:paraId="5E83626F">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600000000000000"/>
    <w:charset w:val="86"/>
    <w:family w:val="auto"/>
    <w:pitch w:val="default"/>
    <w:sig w:usb0="00000000" w:usb1="00000000" w:usb2="00000012" w:usb3="00000000" w:csb0="00160001" w:csb1="1203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711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CE46">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E1D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OGRjMzYzOGNmMmI0NjY0ZGRlYmVhMzkwNTdjYWUifQ=="/>
  </w:docVars>
  <w:rsids>
    <w:rsidRoot w:val="007C55B5"/>
    <w:rsid w:val="00010CD1"/>
    <w:rsid w:val="00014CD1"/>
    <w:rsid w:val="000510B1"/>
    <w:rsid w:val="00051F8C"/>
    <w:rsid w:val="0005786F"/>
    <w:rsid w:val="00102582"/>
    <w:rsid w:val="001143ED"/>
    <w:rsid w:val="001A10D1"/>
    <w:rsid w:val="0028730E"/>
    <w:rsid w:val="002961BE"/>
    <w:rsid w:val="002F6A44"/>
    <w:rsid w:val="003073A9"/>
    <w:rsid w:val="00337C0C"/>
    <w:rsid w:val="00340F73"/>
    <w:rsid w:val="00381FBB"/>
    <w:rsid w:val="00383397"/>
    <w:rsid w:val="00482111"/>
    <w:rsid w:val="00514A20"/>
    <w:rsid w:val="00582378"/>
    <w:rsid w:val="00587321"/>
    <w:rsid w:val="005B3110"/>
    <w:rsid w:val="005B7156"/>
    <w:rsid w:val="0061649F"/>
    <w:rsid w:val="0064189F"/>
    <w:rsid w:val="006562CC"/>
    <w:rsid w:val="00674CF0"/>
    <w:rsid w:val="00675578"/>
    <w:rsid w:val="006D41DA"/>
    <w:rsid w:val="00754FFF"/>
    <w:rsid w:val="007566A5"/>
    <w:rsid w:val="0079633D"/>
    <w:rsid w:val="007A62AA"/>
    <w:rsid w:val="007B76A6"/>
    <w:rsid w:val="007C55B5"/>
    <w:rsid w:val="007E4B68"/>
    <w:rsid w:val="008071AC"/>
    <w:rsid w:val="00811792"/>
    <w:rsid w:val="00826D9A"/>
    <w:rsid w:val="008404A7"/>
    <w:rsid w:val="00863B11"/>
    <w:rsid w:val="008B08BB"/>
    <w:rsid w:val="008C3D55"/>
    <w:rsid w:val="008C4A4B"/>
    <w:rsid w:val="008D67A4"/>
    <w:rsid w:val="008E0864"/>
    <w:rsid w:val="0090311D"/>
    <w:rsid w:val="009972B3"/>
    <w:rsid w:val="009B086B"/>
    <w:rsid w:val="009B4A36"/>
    <w:rsid w:val="009C0F7E"/>
    <w:rsid w:val="00A950A3"/>
    <w:rsid w:val="00A97272"/>
    <w:rsid w:val="00AB0456"/>
    <w:rsid w:val="00AB0B48"/>
    <w:rsid w:val="00B45710"/>
    <w:rsid w:val="00B477A0"/>
    <w:rsid w:val="00B61A05"/>
    <w:rsid w:val="00BC56A0"/>
    <w:rsid w:val="00BC64EC"/>
    <w:rsid w:val="00C53A30"/>
    <w:rsid w:val="00C6007E"/>
    <w:rsid w:val="00C81718"/>
    <w:rsid w:val="00CA668C"/>
    <w:rsid w:val="00CD0CAC"/>
    <w:rsid w:val="00CD4146"/>
    <w:rsid w:val="00CF61F3"/>
    <w:rsid w:val="00D43A05"/>
    <w:rsid w:val="00D935D4"/>
    <w:rsid w:val="00DC1481"/>
    <w:rsid w:val="00E40ADA"/>
    <w:rsid w:val="00E9227B"/>
    <w:rsid w:val="00EC7820"/>
    <w:rsid w:val="00ED1A64"/>
    <w:rsid w:val="00EF03E0"/>
    <w:rsid w:val="00EF36B3"/>
    <w:rsid w:val="00F14369"/>
    <w:rsid w:val="00F27BB9"/>
    <w:rsid w:val="00F33C14"/>
    <w:rsid w:val="00FA03A4"/>
    <w:rsid w:val="00FA4282"/>
    <w:rsid w:val="015B5E7C"/>
    <w:rsid w:val="036A7328"/>
    <w:rsid w:val="03736735"/>
    <w:rsid w:val="03C70841"/>
    <w:rsid w:val="05D90BCF"/>
    <w:rsid w:val="093F5AA7"/>
    <w:rsid w:val="0B4F4345"/>
    <w:rsid w:val="0B8C3FEE"/>
    <w:rsid w:val="0B9B5B4F"/>
    <w:rsid w:val="0F114F36"/>
    <w:rsid w:val="16B95FB8"/>
    <w:rsid w:val="18904A9E"/>
    <w:rsid w:val="19480164"/>
    <w:rsid w:val="1D5A714D"/>
    <w:rsid w:val="1E29229C"/>
    <w:rsid w:val="1F133283"/>
    <w:rsid w:val="1FA84C84"/>
    <w:rsid w:val="205E01F7"/>
    <w:rsid w:val="24CE4E7D"/>
    <w:rsid w:val="25F14FAF"/>
    <w:rsid w:val="26514992"/>
    <w:rsid w:val="26DB1BD7"/>
    <w:rsid w:val="2D6F245E"/>
    <w:rsid w:val="3105554A"/>
    <w:rsid w:val="31CE6E28"/>
    <w:rsid w:val="350F4656"/>
    <w:rsid w:val="36883480"/>
    <w:rsid w:val="3767310F"/>
    <w:rsid w:val="39716CAB"/>
    <w:rsid w:val="39E2780B"/>
    <w:rsid w:val="3BD1584A"/>
    <w:rsid w:val="3DAE53B6"/>
    <w:rsid w:val="4001660D"/>
    <w:rsid w:val="4077225B"/>
    <w:rsid w:val="40EE585D"/>
    <w:rsid w:val="41E858FF"/>
    <w:rsid w:val="42381E84"/>
    <w:rsid w:val="44C862FF"/>
    <w:rsid w:val="47FB7163"/>
    <w:rsid w:val="48B9248B"/>
    <w:rsid w:val="4B84159A"/>
    <w:rsid w:val="4D994FE5"/>
    <w:rsid w:val="51F779E0"/>
    <w:rsid w:val="5279285E"/>
    <w:rsid w:val="527F3190"/>
    <w:rsid w:val="5305027F"/>
    <w:rsid w:val="59F942E2"/>
    <w:rsid w:val="5A16612B"/>
    <w:rsid w:val="5AC23CD1"/>
    <w:rsid w:val="5B1D173C"/>
    <w:rsid w:val="5DB22A2E"/>
    <w:rsid w:val="5DC0025A"/>
    <w:rsid w:val="5DFF4727"/>
    <w:rsid w:val="5E5B396D"/>
    <w:rsid w:val="5EC0115A"/>
    <w:rsid w:val="60971108"/>
    <w:rsid w:val="63A7017E"/>
    <w:rsid w:val="65D75707"/>
    <w:rsid w:val="660A5ADC"/>
    <w:rsid w:val="6B9F2425"/>
    <w:rsid w:val="6DC03572"/>
    <w:rsid w:val="75454A40"/>
    <w:rsid w:val="75CD416A"/>
    <w:rsid w:val="77712B70"/>
    <w:rsid w:val="791E32C2"/>
    <w:rsid w:val="7B1A538A"/>
    <w:rsid w:val="7DD02D0F"/>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4"/>
    <w:unhideWhenUsed/>
    <w:qFormat/>
    <w:uiPriority w:val="0"/>
    <w:pPr>
      <w:ind w:left="751"/>
      <w:outlineLvl w:val="1"/>
    </w:pPr>
    <w:rPr>
      <w:rFonts w:ascii="楷体" w:hAnsi="楷体" w:eastAsia="楷体" w:cs="楷体"/>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6">
    <w:name w:val="Title"/>
    <w:basedOn w:val="1"/>
    <w:next w:val="1"/>
    <w:link w:val="13"/>
    <w:qFormat/>
    <w:uiPriority w:val="1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List Paragraph_38fe94b9-8e93-4e84-87b6-bc005ed833bb"/>
    <w:basedOn w:val="1"/>
    <w:qFormat/>
    <w:uiPriority w:val="34"/>
    <w:pPr>
      <w:ind w:firstLine="420" w:firstLineChars="200"/>
    </w:pPr>
  </w:style>
  <w:style w:type="character" w:customStyle="1" w:styleId="13">
    <w:name w:val="标题 字符"/>
    <w:basedOn w:val="9"/>
    <w:link w:val="6"/>
    <w:qFormat/>
    <w:uiPriority w:val="10"/>
    <w:rPr>
      <w:rFonts w:ascii="Cambria" w:hAnsi="Cambria"/>
      <w:b/>
      <w:bCs/>
      <w:sz w:val="32"/>
      <w:szCs w:val="32"/>
    </w:rPr>
  </w:style>
  <w:style w:type="character" w:customStyle="1" w:styleId="14">
    <w:name w:val="标题 2 字符"/>
    <w:link w:val="3"/>
    <w:qFormat/>
    <w:uiPriority w:val="0"/>
    <w:rPr>
      <w:rFonts w:ascii="楷体" w:hAnsi="楷体" w:eastAsia="楷体" w:cs="楷体"/>
      <w:b/>
      <w:bCs/>
      <w:sz w:val="32"/>
      <w:szCs w:val="32"/>
      <w:lang w:val="zh-CN" w:bidi="zh-CN"/>
    </w:rPr>
  </w:style>
  <w:style w:type="paragraph" w:customStyle="1" w:styleId="15">
    <w:name w:val="Heading2"/>
    <w:basedOn w:val="1"/>
    <w:next w:val="1"/>
    <w:qFormat/>
    <w:uiPriority w:val="99"/>
    <w:pPr>
      <w:ind w:left="110"/>
    </w:pPr>
    <w:rPr>
      <w:rFonts w:ascii="宋体" w:hAnsi="宋体"/>
      <w:sz w:val="62"/>
      <w:szCs w:val="62"/>
    </w:r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1533</Words>
  <Characters>1535</Characters>
  <Lines>13</Lines>
  <Paragraphs>3</Paragraphs>
  <TotalTime>0</TotalTime>
  <ScaleCrop>false</ScaleCrop>
  <LinksUpToDate>false</LinksUpToDate>
  <CharactersWithSpaces>1560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2021-04-21T01:49:00Z</dcterms:created>
  <dc:creator>WPS_1569810778</dc:creator>
  <cp:lastModifiedBy>86150</cp:lastModifiedBy>
  <cp:lastPrinted>2023-11-06T01:36:00Z</cp:lastPrinted>
  <dcterms:modified xsi:type="dcterms:W3CDTF">2025-02-17T13:12:03Z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0C002D19A1AC42F6AE2CE7C357E5E296_13</vt:lpwstr>
  </property>
  <property fmtid="{D5CDD505-2E9C-101B-9397-08002B2CF9AE}" pid="4" name="KSOTemplateDocerSaveRecord">
    <vt:lpwstr>eyJoZGlkIjoiYWU3NzEyNmFiYTkxZWIwNWY5NDZmMjYyOTc5M2E4OGQifQ==</vt:lpwstr>
  </property>
</Properties>
</file>